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860063" cy="336042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0063" cy="3360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9" w:lineRule="auto"/>
        <w:ind w:left="2196" w:right="2373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Universidad Autónoma de Baja California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66675</wp:posOffset>
            </wp:positionH>
            <wp:positionV relativeFrom="paragraph">
              <wp:posOffset>-519155</wp:posOffset>
            </wp:positionV>
            <wp:extent cx="509905" cy="695032"/>
            <wp:effectExtent b="0" l="0" r="0" t="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9905" cy="6950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ind w:left="2196" w:right="2376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Facultad de Ciencias Administrativas y Sociales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95" w:right="2376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Formato de Tutoría 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6-1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96" w:right="2376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2do. Semestre-Licenciatura en Derecho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08" w:right="1441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Grupo 521, 523 matutino entre semana; Grupo 522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y 524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vespertino entre semana y Grupo 742 fin de semana.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452"/>
          <w:tab w:val="left" w:leader="none" w:pos="4437"/>
          <w:tab w:val="left" w:leader="none" w:pos="4521"/>
          <w:tab w:val="left" w:leader="none" w:pos="4574"/>
          <w:tab w:val="left" w:leader="none" w:pos="5039"/>
          <w:tab w:val="left" w:leader="none" w:pos="6249"/>
          <w:tab w:val="left" w:leader="none" w:pos="6999"/>
          <w:tab w:val="left" w:leader="none" w:pos="7210"/>
          <w:tab w:val="left" w:leader="none" w:pos="8062"/>
          <w:tab w:val="left" w:leader="none" w:pos="8105"/>
          <w:tab w:val="left" w:leader="none" w:pos="8590"/>
        </w:tabs>
        <w:spacing w:before="57" w:line="256" w:lineRule="auto"/>
        <w:ind w:left="199" w:right="82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Matrícula: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 xml:space="preserve">Fecha: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/2026</w:t>
      </w:r>
    </w:p>
    <w:p w:rsidR="00000000" w:rsidDel="00000000" w:rsidP="00000000" w:rsidRDefault="00000000" w:rsidRPr="00000000" w14:paraId="0000000A">
      <w:pPr>
        <w:tabs>
          <w:tab w:val="left" w:leader="none" w:pos="3452"/>
          <w:tab w:val="left" w:leader="none" w:pos="4437"/>
          <w:tab w:val="left" w:leader="none" w:pos="4521"/>
          <w:tab w:val="left" w:leader="none" w:pos="4574"/>
          <w:tab w:val="left" w:leader="none" w:pos="5039"/>
          <w:tab w:val="left" w:leader="none" w:pos="6249"/>
          <w:tab w:val="left" w:leader="none" w:pos="6999"/>
          <w:tab w:val="left" w:leader="none" w:pos="7210"/>
          <w:tab w:val="left" w:leader="none" w:pos="8062"/>
          <w:tab w:val="left" w:leader="none" w:pos="8105"/>
          <w:tab w:val="left" w:leader="none" w:pos="8590"/>
        </w:tabs>
        <w:spacing w:before="57" w:line="256" w:lineRule="auto"/>
        <w:ind w:left="199" w:right="82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Nombre: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Modalidad: Escolarizado: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 xml:space="preserve">Sabatino: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Correo institucional: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 xml:space="preserve">__</w:t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@uabc.edu.mx                Cel.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Grupo actual: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56" w:lineRule="auto"/>
        <w:ind w:left="199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Instrucciones: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coloca una “X” en las materias a solicitar al tutor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7"/>
          <w:szCs w:val="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93.0" w:type="dxa"/>
        <w:jc w:val="left"/>
        <w:tblInd w:w="2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4"/>
        <w:gridCol w:w="6675"/>
        <w:gridCol w:w="567"/>
        <w:gridCol w:w="847"/>
        <w:tblGridChange w:id="0">
          <w:tblGrid>
            <w:gridCol w:w="1004"/>
            <w:gridCol w:w="6675"/>
            <w:gridCol w:w="567"/>
            <w:gridCol w:w="847"/>
          </w:tblGrid>
        </w:tblGridChange>
      </w:tblGrid>
      <w:tr>
        <w:trPr>
          <w:cantSplit w:val="0"/>
          <w:trHeight w:val="299" w:hRule="atLeast"/>
          <w:tblHeader w:val="0"/>
        </w:trPr>
        <w:tc>
          <w:tcPr>
            <w:tcBorders>
              <w:bottom w:color="000000" w:space="0" w:sz="6" w:val="single"/>
            </w:tcBorders>
            <w:shd w:fill="bdbdbd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73" w:lineRule="auto"/>
              <w:ind w:left="119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Clave</w:t>
            </w:r>
          </w:p>
        </w:tc>
        <w:tc>
          <w:tcPr>
            <w:tcBorders>
              <w:bottom w:color="000000" w:space="0" w:sz="6" w:val="single"/>
            </w:tcBorders>
            <w:shd w:fill="bdbdbd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73" w:lineRule="auto"/>
              <w:ind w:left="2010" w:right="202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MATERIAS OBLIGATORIAS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4" w:val="single"/>
            </w:tcBorders>
            <w:shd w:fill="bdbdbd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553" w:right="554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(X)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48.00000000000006" w:lineRule="auto"/>
              <w:ind w:left="119" w:firstLine="0"/>
              <w:rPr/>
            </w:pPr>
            <w:r w:rsidDel="00000000" w:rsidR="00000000" w:rsidRPr="00000000">
              <w:rPr>
                <w:rtl w:val="0"/>
              </w:rPr>
              <w:t xml:space="preserve">48842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48.00000000000006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  <w:t xml:space="preserve">Personas e instituciones familiares</w:t>
            </w:r>
          </w:p>
        </w:tc>
        <w:tc>
          <w:tcPr>
            <w:gridSpan w:val="2"/>
            <w:tcBorders>
              <w:top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ind w:left="119" w:firstLine="0"/>
              <w:rPr/>
            </w:pPr>
            <w:r w:rsidDel="00000000" w:rsidR="00000000" w:rsidRPr="00000000">
              <w:rPr>
                <w:rtl w:val="0"/>
              </w:rPr>
              <w:t xml:space="preserve">48844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ind w:left="109" w:firstLine="0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Fundamentos del Derecho Penal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 48840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ind w:left="109" w:right="47" w:firstLine="0"/>
              <w:rPr/>
            </w:pPr>
            <w:r w:rsidDel="00000000" w:rsidR="00000000" w:rsidRPr="00000000">
              <w:rPr>
                <w:rtl w:val="0"/>
              </w:rPr>
              <w:t xml:space="preserve">Filosofía jurídica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248.00000000000006" w:lineRule="auto"/>
              <w:ind w:left="119" w:firstLine="0"/>
              <w:rPr/>
            </w:pPr>
            <w:r w:rsidDel="00000000" w:rsidR="00000000" w:rsidRPr="00000000">
              <w:rPr>
                <w:rtl w:val="0"/>
              </w:rPr>
              <w:t xml:space="preserve">48841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before="11" w:line="212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  <w:t xml:space="preserve">Metodología de la investigación jurídica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ind w:left="119" w:firstLine="0"/>
              <w:rPr/>
            </w:pPr>
            <w:r w:rsidDel="00000000" w:rsidR="00000000" w:rsidRPr="00000000">
              <w:rPr>
                <w:rtl w:val="0"/>
              </w:rPr>
              <w:t xml:space="preserve">48843</w:t>
            </w:r>
          </w:p>
        </w:tc>
        <w:tc>
          <w:tcPr/>
          <w:p w:rsidR="00000000" w:rsidDel="00000000" w:rsidP="00000000" w:rsidRDefault="00000000" w:rsidRPr="00000000" w14:paraId="00000023">
            <w:pPr>
              <w:ind w:left="109" w:firstLine="0"/>
              <w:rPr/>
            </w:pPr>
            <w:r w:rsidDel="00000000" w:rsidR="00000000" w:rsidRPr="00000000">
              <w:rPr>
                <w:rtl w:val="0"/>
              </w:rPr>
              <w:t xml:space="preserve">Responsabilidad Social y Desarrollo Sostenible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ind w:left="119" w:firstLine="0"/>
              <w:rPr/>
            </w:pPr>
            <w:r w:rsidDel="00000000" w:rsidR="00000000" w:rsidRPr="00000000">
              <w:rPr>
                <w:rtl w:val="0"/>
              </w:rPr>
              <w:t xml:space="preserve">48845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109" w:firstLine="0"/>
              <w:rPr/>
            </w:pPr>
            <w:r w:rsidDel="00000000" w:rsidR="00000000" w:rsidRPr="00000000">
              <w:rPr>
                <w:rtl w:val="0"/>
              </w:rPr>
              <w:t xml:space="preserve">Teoría del proceso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" w:right="0" w:firstLine="0"/>
              <w:jc w:val="left"/>
              <w:rPr>
                <w:rFonts w:ascii="Arial MT" w:cs="Arial MT" w:eastAsia="Arial MT" w:hAnsi="Arial M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48846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Arial MT" w:cs="Arial MT" w:eastAsia="Arial MT" w:hAnsi="Arial M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Justicia Digital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restart"/>
            <w:shd w:fill="d0cece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28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Clave</w:t>
            </w:r>
          </w:p>
        </w:tc>
        <w:tc>
          <w:tcPr>
            <w:vMerge w:val="restart"/>
            <w:shd w:fill="d0cece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2010" w:right="201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MATERIAS REPROBADAS *</w:t>
            </w:r>
          </w:p>
        </w:tc>
        <w:tc>
          <w:tcPr>
            <w:gridSpan w:val="2"/>
            <w:tcBorders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Oportunidad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vMerge w:val="continue"/>
            <w:shd w:fill="d0cece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0cece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2da.</w:t>
            </w:r>
          </w:p>
        </w:tc>
        <w:tc>
          <w:tcPr>
            <w:tcBorders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26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3ra.</w:t>
            </w:r>
          </w:p>
        </w:tc>
      </w:tr>
      <w:tr>
        <w:trPr>
          <w:cantSplit w:val="0"/>
          <w:trHeight w:val="244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199" w:right="2839" w:firstLine="0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*Solo en caso de no haber aprobado alguna materia en semestres anteriores PÁGINAS QUE DEBES ATENDER COMO REQUISITO DE REINSCRIPCIÓN: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52" w:line="240" w:lineRule="auto"/>
        <w:ind w:left="920" w:right="0" w:hanging="361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Encuesta de Seguimiento: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53cc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1153cc"/>
            <w:sz w:val="20"/>
            <w:szCs w:val="20"/>
            <w:u w:val="none"/>
            <w:shd w:fill="auto" w:val="clear"/>
            <w:vertAlign w:val="baseline"/>
            <w:rtl w:val="0"/>
          </w:rPr>
          <w:t xml:space="preserve">http://reinscripciones.uabc.mx/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before="145" w:lineRule="auto"/>
        <w:ind w:left="19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REINSCRIPCIONES: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Para reinscribirte: </w:t>
      </w:r>
      <w:hyperlink r:id="rId10">
        <w:r w:rsidDel="00000000" w:rsidR="00000000" w:rsidRPr="00000000">
          <w:rPr>
            <w:rFonts w:ascii="Calibri" w:cs="Calibri" w:eastAsia="Calibri" w:hAnsi="Calibri"/>
            <w:color w:val="1153cc"/>
            <w:sz w:val="20"/>
            <w:szCs w:val="20"/>
            <w:u w:val="single"/>
            <w:rtl w:val="0"/>
          </w:rPr>
          <w:t xml:space="preserve">http://reinscripciones.uabc.mx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before="60" w:lineRule="auto"/>
        <w:ind w:left="19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PÁGINA PARA PAGOS: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Obtención de recibo y periodo de pago: </w:t>
      </w:r>
      <w:hyperlink r:id="rId11">
        <w:r w:rsidDel="00000000" w:rsidR="00000000" w:rsidRPr="00000000">
          <w:rPr>
            <w:rFonts w:ascii="Calibri" w:cs="Calibri" w:eastAsia="Calibri" w:hAnsi="Calibri"/>
            <w:color w:val="1153cc"/>
            <w:sz w:val="20"/>
            <w:szCs w:val="20"/>
            <w:u w:val="single"/>
            <w:rtl w:val="0"/>
          </w:rPr>
          <w:t xml:space="preserve">http://pagos.uabc.mx/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280" w:top="640" w:left="1500" w:right="13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⮚"/>
      <w:lvlJc w:val="left"/>
      <w:pPr>
        <w:ind w:left="920" w:hanging="360"/>
      </w:pPr>
      <w:rPr>
        <w:rFonts w:ascii="Quattrocento Sans" w:cs="Quattrocento Sans" w:eastAsia="Quattrocento Sans" w:hAnsi="Quattrocento Sans"/>
        <w:sz w:val="20"/>
        <w:szCs w:val="20"/>
      </w:rPr>
    </w:lvl>
    <w:lvl w:ilvl="1">
      <w:start w:val="0"/>
      <w:numFmt w:val="bullet"/>
      <w:lvlText w:val="•"/>
      <w:lvlJc w:val="left"/>
      <w:pPr>
        <w:ind w:left="1770" w:hanging="360"/>
      </w:pPr>
      <w:rPr/>
    </w:lvl>
    <w:lvl w:ilvl="2">
      <w:start w:val="0"/>
      <w:numFmt w:val="bullet"/>
      <w:lvlText w:val="•"/>
      <w:lvlJc w:val="left"/>
      <w:pPr>
        <w:ind w:left="2620" w:hanging="360"/>
      </w:pPr>
      <w:rPr/>
    </w:lvl>
    <w:lvl w:ilvl="3">
      <w:start w:val="0"/>
      <w:numFmt w:val="bullet"/>
      <w:lvlText w:val="•"/>
      <w:lvlJc w:val="left"/>
      <w:pPr>
        <w:ind w:left="3470" w:hanging="360"/>
      </w:pPr>
      <w:rPr/>
    </w:lvl>
    <w:lvl w:ilvl="4">
      <w:start w:val="0"/>
      <w:numFmt w:val="bullet"/>
      <w:lvlText w:val="•"/>
      <w:lvlJc w:val="left"/>
      <w:pPr>
        <w:ind w:left="4320" w:hanging="360"/>
      </w:pPr>
      <w:rPr/>
    </w:lvl>
    <w:lvl w:ilvl="5">
      <w:start w:val="0"/>
      <w:numFmt w:val="bullet"/>
      <w:lvlText w:val="•"/>
      <w:lvlJc w:val="left"/>
      <w:pPr>
        <w:ind w:left="5170" w:hanging="360"/>
      </w:pPr>
      <w:rPr/>
    </w:lvl>
    <w:lvl w:ilvl="6">
      <w:start w:val="0"/>
      <w:numFmt w:val="bullet"/>
      <w:lvlText w:val="•"/>
      <w:lvlJc w:val="left"/>
      <w:pPr>
        <w:ind w:left="6020" w:hanging="360"/>
      </w:pPr>
      <w:rPr/>
    </w:lvl>
    <w:lvl w:ilvl="7">
      <w:start w:val="0"/>
      <w:numFmt w:val="bullet"/>
      <w:lvlText w:val="•"/>
      <w:lvlJc w:val="left"/>
      <w:pPr>
        <w:ind w:left="6870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MT" w:cs="Arial MT" w:eastAsia="Arial MT" w:hAnsi="Arial MT"/>
        <w:sz w:val="22"/>
        <w:szCs w:val="22"/>
        <w:lang w:val="es-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Pr>
      <w:rFonts w:ascii="Arial MT" w:cs="Arial MT" w:eastAsia="Arial MT" w:hAnsi="Arial MT"/>
      <w:lang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rFonts w:ascii="Calibri" w:cs="Calibri" w:eastAsia="Calibri" w:hAnsi="Calibri"/>
      <w:b w:val="1"/>
      <w:bCs w:val="1"/>
      <w:sz w:val="24"/>
      <w:szCs w:val="24"/>
    </w:rPr>
  </w:style>
  <w:style w:type="paragraph" w:styleId="Prrafodelista">
    <w:name w:val="List Paragraph"/>
    <w:basedOn w:val="Normal"/>
    <w:uiPriority w:val="1"/>
    <w:qFormat w:val="1"/>
    <w:pPr>
      <w:spacing w:before="52"/>
      <w:ind w:left="920" w:hanging="361"/>
    </w:pPr>
    <w:rPr>
      <w:rFonts w:ascii="Calibri" w:cs="Calibri" w:eastAsia="Calibri" w:hAnsi="Calibri"/>
      <w:u w:color="000000" w:val="single"/>
    </w:rPr>
  </w:style>
  <w:style w:type="paragraph" w:styleId="TableParagraph" w:customStyle="1">
    <w:name w:val="Table Paragraph"/>
    <w:basedOn w:val="Normal"/>
    <w:uiPriority w:val="1"/>
    <w:qFormat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A464E1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A464E1"/>
    <w:rPr>
      <w:rFonts w:ascii="Tahoma" w:cs="Tahoma" w:eastAsia="Arial MT" w:hAnsi="Tahoma"/>
      <w:sz w:val="16"/>
      <w:szCs w:val="16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pagos.uabc.mx/" TargetMode="External"/><Relationship Id="rId10" Type="http://schemas.openxmlformats.org/officeDocument/2006/relationships/hyperlink" Target="http://reinscripciones.uabc.mx/" TargetMode="External"/><Relationship Id="rId9" Type="http://schemas.openxmlformats.org/officeDocument/2006/relationships/hyperlink" Target="http://reinscripciones.uabc.mx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SP7tEMhkD4kurPbCioITKt2NNg==">CgMxLjAyCGguZ2pkZ3hzOAByITFwWDVSTUZmOUoyMENfQWYxc1U1T2gyZXNuOFVVeFlBaA==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2022-06-28T19:34:00Z</dcterms:created>
  <dc:creator>Elizabeth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2022-06-28T00:00:00Z</vt:filetime>
  </property>
</Properties>
</file>