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7860"/>
        </w:tabs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820246" cy="1058863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0246" cy="1058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219075</wp:posOffset>
            </wp:positionV>
            <wp:extent cx="1090613" cy="434947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4349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0" w:right="24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Facultad de Ciencias Administrativas y Sociales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9" w:right="244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Formato de Tutoría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5-2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.33070866141690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2do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Semestre TRONCO COMÚN C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IENCIAS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32.401574803150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Grupo 421,422,423,424 y 425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.4015748031502" w:firstLine="0"/>
        <w:jc w:val="center"/>
        <w:rPr>
          <w:rFonts w:ascii="Calibri" w:cs="Calibri" w:eastAsia="Calibri" w:hAnsi="Calibri"/>
          <w:b w:val="1"/>
          <w:sz w:val="24"/>
          <w:szCs w:val="24"/>
        </w:rPr>
        <w:sectPr>
          <w:footerReference r:id="rId9" w:type="default"/>
          <w:pgSz w:h="15840" w:w="12240" w:orient="portrait"/>
          <w:pgMar w:bottom="280" w:top="380" w:left="1500" w:right="140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199" w:right="3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199" w:right="3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199" w:right="38" w:firstLine="0"/>
        <w:jc w:val="left"/>
        <w:rPr/>
      </w:pPr>
      <w:r w:rsidDel="00000000" w:rsidR="00000000" w:rsidRPr="00000000">
        <w:rPr>
          <w:rtl w:val="0"/>
        </w:rPr>
        <w:t xml:space="preserve">Correo institucional:     @uabc.edu.mx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B">
      <w:pPr>
        <w:spacing w:before="125" w:line="242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380" w:left="1500" w:right="1400" w:header="720" w:footer="720"/>
          <w:cols w:equalWidth="0" w:num="2">
            <w:col w:space="496" w:w="4422"/>
            <w:col w:space="0" w:w="44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Fecha:</w:t>
      </w:r>
    </w:p>
    <w:p w:rsidR="00000000" w:rsidDel="00000000" w:rsidP="00000000" w:rsidRDefault="00000000" w:rsidRPr="00000000" w14:paraId="0000000C">
      <w:pPr>
        <w:tabs>
          <w:tab w:val="left" w:leader="none" w:pos="5712"/>
        </w:tabs>
        <w:spacing w:line="246.99999999999994" w:lineRule="auto"/>
        <w:rPr/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199" w:right="0" w:firstLine="19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199" w:right="0" w:firstLine="1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 actual: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1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43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65"/>
        <w:gridCol w:w="5970"/>
        <w:gridCol w:w="949"/>
        <w:gridCol w:w="859"/>
        <w:tblGridChange w:id="0">
          <w:tblGrid>
            <w:gridCol w:w="1065"/>
            <w:gridCol w:w="5970"/>
            <w:gridCol w:w="949"/>
            <w:gridCol w:w="85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2">
            <w:pPr>
              <w:spacing w:before="109" w:lineRule="auto"/>
              <w:ind w:right="266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3">
            <w:pPr>
              <w:spacing w:before="109" w:lineRule="auto"/>
              <w:ind w:left="192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14">
            <w:pPr>
              <w:spacing w:before="109" w:lineRule="auto"/>
              <w:ind w:left="783" w:right="693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38916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Formaciòn Ciudadana y Diversidad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38917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Estadística para las Ciencias Sociales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119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38918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Comprensión y redacción de Textos Académicos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38919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Desarrollo Humano y Transculturalidad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38920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Desarrollo de Habilidades Socioemocionales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2E">
            <w:pPr>
              <w:spacing w:before="115" w:lineRule="auto"/>
              <w:ind w:right="293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2F">
            <w:pPr>
              <w:spacing w:before="115" w:lineRule="auto"/>
              <w:ind w:left="11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120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38977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Inglés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A">
            <w:pPr>
              <w:spacing w:before="110" w:lineRule="auto"/>
              <w:ind w:right="322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B">
            <w:pPr>
              <w:spacing w:before="110" w:lineRule="auto"/>
              <w:ind w:left="1727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REPROBADAS *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C">
            <w:pPr>
              <w:spacing w:before="110" w:lineRule="auto"/>
              <w:ind w:left="11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10" w:lineRule="auto"/>
              <w:ind w:left="2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2da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10" w:lineRule="auto"/>
              <w:ind w:left="111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3era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199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*Solo en caso de no haber aprobado alguna materia en semestres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94" w:lineRule="auto"/>
        <w:ind w:left="0" w:right="1024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*Solo en caso de no haber aprobado alguna materia en semestres anteriores PÁGINAS QUE DEBES ATENDER COMO REQUISITO DE REINSCRIPCIÓN: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51" w:line="242.99999999999997" w:lineRule="auto"/>
        <w:ind w:left="920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Evaluación Docente: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http://ed.uabc.mx/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0" w:line="226" w:lineRule="auto"/>
        <w:ind w:left="920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Selección de Carrera y Encuesta de Seguimiento: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http://reinscripciones.uabc.mx/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0" w:line="248.00000000000006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95" w:lineRule="auto"/>
        <w:ind w:left="199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REINSCRIPCIONES: </w:t>
      </w:r>
      <w:r w:rsidDel="00000000" w:rsidR="00000000" w:rsidRPr="00000000">
        <w:rPr>
          <w:sz w:val="20"/>
          <w:szCs w:val="20"/>
          <w:rtl w:val="0"/>
        </w:rPr>
        <w:t xml:space="preserve">Para reinscribirte: </w:t>
      </w:r>
      <w:hyperlink r:id="rId12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http://reinscripciones.uabc.mx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95" w:lineRule="auto"/>
        <w:ind w:left="199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PÁGINA PARA PAGOS: </w:t>
      </w:r>
      <w:r w:rsidDel="00000000" w:rsidR="00000000" w:rsidRPr="00000000">
        <w:rPr>
          <w:sz w:val="20"/>
          <w:szCs w:val="20"/>
          <w:rtl w:val="0"/>
        </w:rPr>
        <w:t xml:space="preserve">Obtención de recibo y periodo de pago: </w:t>
      </w:r>
      <w:hyperlink r:id="rId13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http://pagos.uabc.mx/</w:t>
        </w:r>
      </w:hyperlink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38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920" w:hanging="360"/>
      </w:pPr>
      <w:rPr>
        <w:rFonts w:ascii="Quattrocento Sans" w:cs="Quattrocento Sans" w:eastAsia="Quattrocento Sans" w:hAnsi="Quattrocento Sans"/>
        <w:sz w:val="20"/>
        <w:szCs w:val="20"/>
      </w:rPr>
    </w:lvl>
    <w:lvl w:ilvl="1">
      <w:start w:val="0"/>
      <w:numFmt w:val="bullet"/>
      <w:lvlText w:val="•"/>
      <w:lvlJc w:val="left"/>
      <w:pPr>
        <w:ind w:left="1762" w:hanging="360"/>
      </w:pPr>
      <w:rPr/>
    </w:lvl>
    <w:lvl w:ilvl="2">
      <w:start w:val="0"/>
      <w:numFmt w:val="bullet"/>
      <w:lvlText w:val="•"/>
      <w:lvlJc w:val="left"/>
      <w:pPr>
        <w:ind w:left="2604" w:hanging="360"/>
      </w:pPr>
      <w:rPr/>
    </w:lvl>
    <w:lvl w:ilvl="3">
      <w:start w:val="0"/>
      <w:numFmt w:val="bullet"/>
      <w:lvlText w:val="•"/>
      <w:lvlJc w:val="left"/>
      <w:pPr>
        <w:ind w:left="3446" w:hanging="360"/>
      </w:pPr>
      <w:rPr/>
    </w:lvl>
    <w:lvl w:ilvl="4">
      <w:start w:val="0"/>
      <w:numFmt w:val="bullet"/>
      <w:lvlText w:val="•"/>
      <w:lvlJc w:val="left"/>
      <w:pPr>
        <w:ind w:left="4288" w:hanging="360"/>
      </w:pPr>
      <w:rPr/>
    </w:lvl>
    <w:lvl w:ilvl="5">
      <w:start w:val="0"/>
      <w:numFmt w:val="bullet"/>
      <w:lvlText w:val="•"/>
      <w:lvlJc w:val="left"/>
      <w:pPr>
        <w:ind w:left="5130" w:hanging="360"/>
      </w:pPr>
      <w:rPr/>
    </w:lvl>
    <w:lvl w:ilvl="6">
      <w:start w:val="0"/>
      <w:numFmt w:val="bullet"/>
      <w:lvlText w:val="•"/>
      <w:lvlJc w:val="left"/>
      <w:pPr>
        <w:ind w:left="5972" w:hanging="360"/>
      </w:pPr>
      <w:rPr/>
    </w:lvl>
    <w:lvl w:ilvl="7">
      <w:start w:val="0"/>
      <w:numFmt w:val="bullet"/>
      <w:lvlText w:val="•"/>
      <w:lvlJc w:val="left"/>
      <w:pPr>
        <w:ind w:left="6814" w:hanging="360"/>
      </w:pPr>
      <w:rPr/>
    </w:lvl>
    <w:lvl w:ilvl="8">
      <w:start w:val="0"/>
      <w:numFmt w:val="bullet"/>
      <w:lvlText w:val="•"/>
      <w:lvlJc w:val="left"/>
      <w:pPr>
        <w:ind w:left="765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9"/>
    <w:qFormat w:val="1"/>
    <w:pPr>
      <w:spacing w:before="94"/>
      <w:ind w:left="199"/>
      <w:outlineLvl w:val="0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Ttulo">
    <w:name w:val="Title"/>
    <w:basedOn w:val="Normal"/>
    <w:uiPriority w:val="10"/>
    <w:qFormat w:val="1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spacing w:line="226" w:lineRule="exact"/>
      <w:ind w:left="92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ed.uabc.mx/" TargetMode="External"/><Relationship Id="rId13" Type="http://schemas.openxmlformats.org/officeDocument/2006/relationships/hyperlink" Target="http://pagos.uabc.mx/" TargetMode="External"/><Relationship Id="rId12" Type="http://schemas.openxmlformats.org/officeDocument/2006/relationships/hyperlink" Target="http://reinscripciones.uabc.mx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LOyOf/d298Fc9F4gfDLl+ijVg==">CgMxLjAyCWlkLmdqZGd4czIKaWQuMzBqMHpsbDIKaWQuMWZvYjl0ZTIJaC4zem55c2g3OAByITFncXJWeUNrcHktUDRGVkVYblphb3IzZm5VdnpIS0VTWg==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2022-05-30T16:26:00Z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